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06" w:rsidRPr="00337FBD" w:rsidRDefault="006217F8">
      <w:pPr>
        <w:jc w:val="center"/>
        <w:rPr>
          <w:rFonts w:ascii="Times New Roman" w:eastAsia="Times New Roman" w:hAnsi="Times New Roman" w:cs="Times New Roman"/>
          <w:b/>
        </w:rPr>
      </w:pPr>
      <w:r w:rsidRPr="00337FBD">
        <w:rPr>
          <w:rFonts w:ascii="Times New Roman" w:eastAsia="Times New Roman" w:hAnsi="Times New Roman" w:cs="Times New Roman"/>
          <w:b/>
        </w:rPr>
        <w:t xml:space="preserve">Cornell </w:t>
      </w:r>
      <w:r w:rsidR="00722D77" w:rsidRPr="00337FBD">
        <w:rPr>
          <w:rFonts w:ascii="Times New Roman" w:eastAsia="Times New Roman" w:hAnsi="Times New Roman" w:cs="Times New Roman"/>
          <w:b/>
        </w:rPr>
        <w:t>School District</w:t>
      </w:r>
    </w:p>
    <w:p w:rsidR="00303106" w:rsidRPr="00337FBD" w:rsidRDefault="006217F8">
      <w:pPr>
        <w:jc w:val="center"/>
        <w:rPr>
          <w:rFonts w:ascii="Times New Roman" w:eastAsia="Times New Roman" w:hAnsi="Times New Roman" w:cs="Times New Roman"/>
          <w:b/>
        </w:rPr>
      </w:pPr>
      <w:r w:rsidRPr="00337FBD">
        <w:rPr>
          <w:rFonts w:ascii="Times New Roman" w:eastAsia="Times New Roman" w:hAnsi="Times New Roman" w:cs="Times New Roman"/>
          <w:b/>
        </w:rPr>
        <w:t>Cornell Elementary</w:t>
      </w:r>
      <w:r w:rsidR="009D3694">
        <w:rPr>
          <w:rFonts w:ascii="Times New Roman" w:eastAsia="Times New Roman" w:hAnsi="Times New Roman" w:cs="Times New Roman"/>
          <w:b/>
        </w:rPr>
        <w:t xml:space="preserve"> School</w:t>
      </w:r>
    </w:p>
    <w:p w:rsidR="00303106" w:rsidRPr="00337FBD" w:rsidRDefault="00722D77">
      <w:pPr>
        <w:jc w:val="center"/>
        <w:rPr>
          <w:rFonts w:ascii="Times New Roman" w:eastAsia="Times New Roman" w:hAnsi="Times New Roman" w:cs="Times New Roman"/>
          <w:b/>
        </w:rPr>
      </w:pPr>
      <w:r w:rsidRPr="00337FBD">
        <w:rPr>
          <w:rFonts w:ascii="Times New Roman" w:eastAsia="Times New Roman" w:hAnsi="Times New Roman" w:cs="Times New Roman"/>
          <w:b/>
        </w:rPr>
        <w:t>21</w:t>
      </w:r>
      <w:r w:rsidRPr="00337FBD">
        <w:rPr>
          <w:rFonts w:ascii="Times New Roman" w:eastAsia="Times New Roman" w:hAnsi="Times New Roman" w:cs="Times New Roman"/>
          <w:b/>
          <w:vertAlign w:val="superscript"/>
        </w:rPr>
        <w:t>st</w:t>
      </w:r>
      <w:r w:rsidRPr="00337FBD">
        <w:rPr>
          <w:rFonts w:ascii="Times New Roman" w:eastAsia="Times New Roman" w:hAnsi="Times New Roman" w:cs="Times New Roman"/>
          <w:b/>
        </w:rPr>
        <w:t xml:space="preserve"> Century Community Learning Centers Program</w:t>
      </w:r>
    </w:p>
    <w:p w:rsidR="00303106" w:rsidRPr="00337FBD" w:rsidRDefault="00722D77">
      <w:pPr>
        <w:jc w:val="center"/>
        <w:rPr>
          <w:rFonts w:ascii="Times New Roman" w:eastAsia="Times New Roman" w:hAnsi="Times New Roman" w:cs="Times New Roman"/>
          <w:b/>
        </w:rPr>
      </w:pPr>
      <w:r w:rsidRPr="00337FBD">
        <w:rPr>
          <w:rFonts w:ascii="Times New Roman" w:eastAsia="Times New Roman" w:hAnsi="Times New Roman" w:cs="Times New Roman"/>
          <w:b/>
        </w:rPr>
        <w:t>Site Monitoring Report</w:t>
      </w:r>
    </w:p>
    <w:p w:rsidR="00303106" w:rsidRPr="00337FBD" w:rsidRDefault="006217F8">
      <w:pPr>
        <w:jc w:val="center"/>
        <w:rPr>
          <w:rFonts w:ascii="Times New Roman" w:eastAsia="Times New Roman" w:hAnsi="Times New Roman" w:cs="Times New Roman"/>
          <w:b/>
        </w:rPr>
      </w:pPr>
      <w:r w:rsidRPr="00337FBD">
        <w:rPr>
          <w:rFonts w:ascii="Times New Roman" w:eastAsia="Times New Roman" w:hAnsi="Times New Roman" w:cs="Times New Roman"/>
          <w:b/>
        </w:rPr>
        <w:t>November 2018</w:t>
      </w:r>
    </w:p>
    <w:p w:rsidR="00303106" w:rsidRPr="00337FBD" w:rsidRDefault="00303106">
      <w:pPr>
        <w:rPr>
          <w:rFonts w:ascii="Times New Roman" w:eastAsia="Times New Roman" w:hAnsi="Times New Roman" w:cs="Times New Roman"/>
          <w:b/>
          <w:u w:val="single"/>
        </w:rPr>
      </w:pPr>
    </w:p>
    <w:p w:rsidR="00303106" w:rsidRPr="00337FBD" w:rsidRDefault="00303106">
      <w:pPr>
        <w:rPr>
          <w:rFonts w:ascii="Times New Roman" w:eastAsia="Times New Roman" w:hAnsi="Times New Roman" w:cs="Times New Roman"/>
          <w:b/>
        </w:rPr>
      </w:pPr>
    </w:p>
    <w:p w:rsidR="00303106" w:rsidRDefault="0035287B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337FBD">
        <w:rPr>
          <w:rFonts w:ascii="Times New Roman" w:eastAsia="Times New Roman" w:hAnsi="Times New Roman" w:cs="Times New Roman"/>
          <w:b/>
        </w:rPr>
        <w:t xml:space="preserve">Findings </w:t>
      </w:r>
    </w:p>
    <w:p w:rsidR="00303106" w:rsidRPr="00337FBD" w:rsidRDefault="00722D77">
      <w:pPr>
        <w:rPr>
          <w:rFonts w:ascii="Times New Roman" w:eastAsia="Times New Roman" w:hAnsi="Times New Roman" w:cs="Times New Roman"/>
          <w:b/>
        </w:rPr>
      </w:pPr>
      <w:r w:rsidRPr="00337FBD">
        <w:rPr>
          <w:rFonts w:ascii="Times New Roman" w:eastAsia="Times New Roman" w:hAnsi="Times New Roman" w:cs="Times New Roman"/>
        </w:rPr>
        <w:t xml:space="preserve">The self-assessments and related interviews and observations conducted by the reviewers focused on the areas of recruitment and participation, collaboration, program quality and services, and program </w:t>
      </w:r>
      <w:r w:rsidR="00FF129D">
        <w:rPr>
          <w:rFonts w:ascii="Times New Roman" w:eastAsia="Times New Roman" w:hAnsi="Times New Roman" w:cs="Times New Roman"/>
        </w:rPr>
        <w:t>results</w:t>
      </w:r>
      <w:r w:rsidRPr="00337FBD">
        <w:rPr>
          <w:rFonts w:ascii="Times New Roman" w:eastAsia="Times New Roman" w:hAnsi="Times New Roman" w:cs="Times New Roman"/>
        </w:rPr>
        <w:t>. The key findings are organized here into strengths, areas for improvement, and directives for corrective action.</w:t>
      </w:r>
    </w:p>
    <w:p w:rsidR="00303106" w:rsidRPr="00337FBD" w:rsidRDefault="00303106">
      <w:pPr>
        <w:rPr>
          <w:rFonts w:ascii="Times New Roman" w:eastAsia="Times New Roman" w:hAnsi="Times New Roman" w:cs="Times New Roman"/>
          <w:u w:val="single"/>
        </w:rPr>
      </w:pPr>
    </w:p>
    <w:p w:rsidR="00950287" w:rsidRPr="00337FBD" w:rsidRDefault="00722D77" w:rsidP="00950287">
      <w:pPr>
        <w:rPr>
          <w:rFonts w:ascii="Times New Roman" w:eastAsia="Times New Roman" w:hAnsi="Times New Roman" w:cs="Times New Roman"/>
          <w:b/>
        </w:rPr>
      </w:pPr>
      <w:r w:rsidRPr="00337FBD">
        <w:rPr>
          <w:rFonts w:ascii="Times New Roman" w:eastAsia="Times New Roman" w:hAnsi="Times New Roman" w:cs="Times New Roman"/>
          <w:b/>
        </w:rPr>
        <w:t xml:space="preserve">Strengths </w:t>
      </w:r>
    </w:p>
    <w:p w:rsidR="00950287" w:rsidRPr="00337FBD" w:rsidRDefault="00950287" w:rsidP="0095028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>Staffing</w:t>
      </w:r>
    </w:p>
    <w:p w:rsidR="00950287" w:rsidRPr="00337FBD" w:rsidRDefault="00950287" w:rsidP="00950287">
      <w:pPr>
        <w:pStyle w:val="ListParagraph"/>
        <w:widowControl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>M</w:t>
      </w:r>
      <w:r w:rsidR="00CA51E8">
        <w:rPr>
          <w:rFonts w:ascii="Times New Roman" w:hAnsi="Times New Roman" w:cs="Times New Roman"/>
        </w:rPr>
        <w:t>r</w:t>
      </w:r>
      <w:r w:rsidRPr="00337FBD">
        <w:rPr>
          <w:rFonts w:ascii="Times New Roman" w:hAnsi="Times New Roman" w:cs="Times New Roman"/>
        </w:rPr>
        <w:t>s. Blaisdell is organized and truly understands the purpose of a CLC and demonstrates a commitment to continuous improvement. She continually seeks additional community partnerships/financial support.</w:t>
      </w:r>
    </w:p>
    <w:p w:rsidR="00950287" w:rsidRPr="00337FBD" w:rsidRDefault="00950287" w:rsidP="00950287">
      <w:pPr>
        <w:pStyle w:val="ListParagraph"/>
        <w:widowControl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>Program provides employment opportunities for qualified high school students.</w:t>
      </w:r>
    </w:p>
    <w:p w:rsidR="00950287" w:rsidRPr="00337FBD" w:rsidRDefault="00950287" w:rsidP="00950287">
      <w:pPr>
        <w:pStyle w:val="ListParagraph"/>
        <w:widowControl/>
        <w:numPr>
          <w:ilvl w:val="1"/>
          <w:numId w:val="10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 xml:space="preserve">Several staff members have been with the CLC since the inception of the CLC </w:t>
      </w:r>
      <w:r w:rsidR="00FF129D">
        <w:rPr>
          <w:rFonts w:ascii="Times New Roman" w:hAnsi="Times New Roman" w:cs="Times New Roman"/>
        </w:rPr>
        <w:t xml:space="preserve">15 </w:t>
      </w:r>
      <w:r w:rsidRPr="00337FBD">
        <w:rPr>
          <w:rFonts w:ascii="Times New Roman" w:hAnsi="Times New Roman" w:cs="Times New Roman"/>
        </w:rPr>
        <w:t>years ago.</w:t>
      </w:r>
    </w:p>
    <w:p w:rsidR="00950287" w:rsidRPr="00337FBD" w:rsidRDefault="00950287" w:rsidP="0095028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>There are seamless opportunities for services for students and families.</w:t>
      </w:r>
    </w:p>
    <w:p w:rsidR="00950287" w:rsidRPr="00337FBD" w:rsidRDefault="00950287" w:rsidP="0095028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>Focus on project</w:t>
      </w:r>
      <w:r w:rsidR="00A01D54">
        <w:rPr>
          <w:rFonts w:ascii="Times New Roman" w:hAnsi="Times New Roman" w:cs="Times New Roman"/>
        </w:rPr>
        <w:t>-</w:t>
      </w:r>
      <w:r w:rsidRPr="00337FBD">
        <w:rPr>
          <w:rFonts w:ascii="Times New Roman" w:hAnsi="Times New Roman" w:cs="Times New Roman"/>
        </w:rPr>
        <w:t>based activities allows students time with hands-on learning.</w:t>
      </w:r>
    </w:p>
    <w:p w:rsidR="00950287" w:rsidRPr="00337FBD" w:rsidRDefault="00950287" w:rsidP="0095028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>Program staff members are actively connecting to academic standards.</w:t>
      </w:r>
    </w:p>
    <w:p w:rsidR="00950287" w:rsidRPr="00337FBD" w:rsidRDefault="00950287" w:rsidP="0095028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>Staff members are given flex time hours per month to develop plans.</w:t>
      </w:r>
    </w:p>
    <w:p w:rsidR="00950287" w:rsidRPr="00337FBD" w:rsidRDefault="00FF129D" w:rsidP="0095028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Creation of 501(c</w:t>
      </w:r>
      <w:proofErr w:type="gramStart"/>
      <w:r>
        <w:rPr>
          <w:rFonts w:ascii="Times New Roman" w:hAnsi="Times New Roman" w:cs="Times New Roman"/>
        </w:rPr>
        <w:t>)</w:t>
      </w:r>
      <w:r w:rsidR="00950287" w:rsidRPr="00337FBD">
        <w:rPr>
          <w:rFonts w:ascii="Times New Roman" w:hAnsi="Times New Roman" w:cs="Times New Roman"/>
        </w:rPr>
        <w:t>(</w:t>
      </w:r>
      <w:proofErr w:type="gramEnd"/>
      <w:r w:rsidR="00950287" w:rsidRPr="00337FBD">
        <w:rPr>
          <w:rFonts w:ascii="Times New Roman" w:hAnsi="Times New Roman" w:cs="Times New Roman"/>
        </w:rPr>
        <w:t>3) non-profit agency enables the CLC to generate additional funding.</w:t>
      </w:r>
    </w:p>
    <w:p w:rsidR="00950287" w:rsidRPr="00337FBD" w:rsidRDefault="00950287" w:rsidP="0095028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>Based on the number of partnerships, there is a strong connection to the community.</w:t>
      </w:r>
    </w:p>
    <w:p w:rsidR="00950287" w:rsidRPr="00337FBD" w:rsidRDefault="00950287" w:rsidP="0095028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>Focus on service learning allows for program visibility and popularity within the community.</w:t>
      </w:r>
    </w:p>
    <w:p w:rsidR="00950287" w:rsidRPr="00337FBD" w:rsidRDefault="00950287" w:rsidP="0095028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>A daily amount of time dedicated to character education allows for social-emotional growth.</w:t>
      </w:r>
    </w:p>
    <w:p w:rsidR="00950287" w:rsidRPr="00337FBD" w:rsidRDefault="00950287" w:rsidP="0095028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>The mutually beneficial partnership with the Senior Care Center builds intergenerational relationships and teaches the students empathy.</w:t>
      </w:r>
    </w:p>
    <w:p w:rsidR="00950287" w:rsidRPr="00337FBD" w:rsidRDefault="00950287" w:rsidP="0095028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>The coordinator examines student data to track CLC students’ academic progress.</w:t>
      </w:r>
    </w:p>
    <w:p w:rsidR="00950287" w:rsidRPr="00337FBD" w:rsidRDefault="00950287" w:rsidP="0095028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>Teachers use space and sensory objects to calm students.</w:t>
      </w:r>
    </w:p>
    <w:p w:rsidR="00950287" w:rsidRPr="00337FBD" w:rsidRDefault="00950287" w:rsidP="0095028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>The CLC has a great presence of programming throughout the building by having available and using, multiple bulletin boards throughout the building.</w:t>
      </w:r>
    </w:p>
    <w:p w:rsidR="00950287" w:rsidRPr="00337FBD" w:rsidRDefault="00950287" w:rsidP="0095028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>Meetings with small groups of students to provide input on programming (Voice Committee) gives student voice to the program.</w:t>
      </w:r>
    </w:p>
    <w:p w:rsidR="00950287" w:rsidRPr="00337FBD" w:rsidRDefault="00950287" w:rsidP="0095028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>Use of technology (via Google) for staff meetings and feedback allows for continuous discussion and improvement.</w:t>
      </w:r>
    </w:p>
    <w:p w:rsidR="00CA51E8" w:rsidRDefault="00722D77" w:rsidP="00950287">
      <w:pPr>
        <w:tabs>
          <w:tab w:val="left" w:pos="3060"/>
        </w:tabs>
        <w:rPr>
          <w:rFonts w:ascii="Times New Roman" w:eastAsia="Times New Roman" w:hAnsi="Times New Roman" w:cs="Times New Roman"/>
          <w:b/>
        </w:rPr>
      </w:pPr>
      <w:r w:rsidRPr="00337FBD">
        <w:rPr>
          <w:rFonts w:ascii="Times New Roman" w:eastAsia="Times New Roman" w:hAnsi="Times New Roman" w:cs="Times New Roman"/>
          <w:b/>
        </w:rPr>
        <w:lastRenderedPageBreak/>
        <w:t>Recommendations fo</w:t>
      </w:r>
      <w:r w:rsidR="00950287" w:rsidRPr="00337FBD">
        <w:rPr>
          <w:rFonts w:ascii="Times New Roman" w:eastAsia="Times New Roman" w:hAnsi="Times New Roman" w:cs="Times New Roman"/>
          <w:b/>
        </w:rPr>
        <w:t xml:space="preserve">r Improvement </w:t>
      </w:r>
    </w:p>
    <w:p w:rsidR="007C7574" w:rsidRDefault="00950287" w:rsidP="007C7574">
      <w:pPr>
        <w:pStyle w:val="ListParagraph"/>
        <w:widowControl/>
        <w:numPr>
          <w:ilvl w:val="0"/>
          <w:numId w:val="12"/>
        </w:numPr>
        <w:tabs>
          <w:tab w:val="left" w:pos="3060"/>
        </w:tabs>
        <w:spacing w:after="160" w:line="259" w:lineRule="auto"/>
        <w:rPr>
          <w:rFonts w:ascii="Times New Roman" w:hAnsi="Times New Roman" w:cs="Times New Roman"/>
        </w:rPr>
      </w:pPr>
      <w:r w:rsidRPr="007C7574">
        <w:rPr>
          <w:rFonts w:ascii="Times New Roman" w:hAnsi="Times New Roman" w:cs="Times New Roman"/>
        </w:rPr>
        <w:t>Recruitment pr</w:t>
      </w:r>
      <w:r w:rsidR="00FF129D">
        <w:rPr>
          <w:rFonts w:ascii="Times New Roman" w:hAnsi="Times New Roman" w:cs="Times New Roman"/>
        </w:rPr>
        <w:t>ocess: p</w:t>
      </w:r>
      <w:r w:rsidR="00CA51E8" w:rsidRPr="007C7574">
        <w:rPr>
          <w:rFonts w:ascii="Times New Roman" w:hAnsi="Times New Roman" w:cs="Times New Roman"/>
        </w:rPr>
        <w:t>rior opening enrollment to the entire school population</w:t>
      </w:r>
      <w:r w:rsidRPr="007C7574">
        <w:rPr>
          <w:rFonts w:ascii="Times New Roman" w:hAnsi="Times New Roman" w:cs="Times New Roman"/>
        </w:rPr>
        <w:t xml:space="preserve">, </w:t>
      </w:r>
      <w:r w:rsidR="00CA51E8" w:rsidRPr="007C7574">
        <w:rPr>
          <w:rFonts w:ascii="Times New Roman" w:hAnsi="Times New Roman" w:cs="Times New Roman"/>
        </w:rPr>
        <w:t>identify the students with the greatest need of support and target those students for enrollment</w:t>
      </w:r>
      <w:r w:rsidRPr="007C7574">
        <w:rPr>
          <w:rFonts w:ascii="Times New Roman" w:hAnsi="Times New Roman" w:cs="Times New Roman"/>
        </w:rPr>
        <w:t xml:space="preserve">. </w:t>
      </w:r>
      <w:r w:rsidR="007C7574" w:rsidRPr="007C7574">
        <w:rPr>
          <w:rFonts w:ascii="Times New Roman" w:hAnsi="Times New Roman" w:cs="Times New Roman"/>
        </w:rPr>
        <w:t>Allow for enrollment in the program throughout the school year, particularly targeting the transient students t</w:t>
      </w:r>
      <w:r w:rsidR="00FF129D">
        <w:rPr>
          <w:rFonts w:ascii="Times New Roman" w:hAnsi="Times New Roman" w:cs="Times New Roman"/>
        </w:rPr>
        <w:t>hat may be in need of services.</w:t>
      </w:r>
    </w:p>
    <w:p w:rsidR="00950287" w:rsidRPr="007C7574" w:rsidRDefault="00950287" w:rsidP="007C7574">
      <w:pPr>
        <w:pStyle w:val="ListParagraph"/>
        <w:widowControl/>
        <w:numPr>
          <w:ilvl w:val="0"/>
          <w:numId w:val="12"/>
        </w:numPr>
        <w:tabs>
          <w:tab w:val="left" w:pos="3060"/>
        </w:tabs>
        <w:spacing w:after="160" w:line="259" w:lineRule="auto"/>
        <w:rPr>
          <w:rFonts w:ascii="Times New Roman" w:hAnsi="Times New Roman" w:cs="Times New Roman"/>
        </w:rPr>
      </w:pPr>
      <w:r w:rsidRPr="007C7574">
        <w:rPr>
          <w:rFonts w:ascii="Times New Roman" w:hAnsi="Times New Roman" w:cs="Times New Roman"/>
        </w:rPr>
        <w:t>Consider othe</w:t>
      </w:r>
      <w:r w:rsidR="007C7574">
        <w:rPr>
          <w:rFonts w:ascii="Times New Roman" w:hAnsi="Times New Roman" w:cs="Times New Roman"/>
        </w:rPr>
        <w:t xml:space="preserve">r methods to generate staff that could </w:t>
      </w:r>
      <w:r w:rsidRPr="007C7574">
        <w:rPr>
          <w:rFonts w:ascii="Times New Roman" w:hAnsi="Times New Roman" w:cs="Times New Roman"/>
        </w:rPr>
        <w:t>provide consistency throughout the week</w:t>
      </w:r>
      <w:r w:rsidR="00FF129D">
        <w:rPr>
          <w:rFonts w:ascii="Times New Roman" w:hAnsi="Times New Roman" w:cs="Times New Roman"/>
        </w:rPr>
        <w:t>.</w:t>
      </w:r>
    </w:p>
    <w:p w:rsidR="00950287" w:rsidRPr="00337FBD" w:rsidRDefault="00950287" w:rsidP="00950287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>Consider adding a Friday program to meet parental need for services.</w:t>
      </w:r>
    </w:p>
    <w:p w:rsidR="00950287" w:rsidRPr="00337FBD" w:rsidRDefault="00950287" w:rsidP="00950287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>Consider altering</w:t>
      </w:r>
      <w:r w:rsidR="007C7574">
        <w:rPr>
          <w:rFonts w:ascii="Times New Roman" w:hAnsi="Times New Roman" w:cs="Times New Roman"/>
        </w:rPr>
        <w:t xml:space="preserve"> the current</w:t>
      </w:r>
      <w:r w:rsidRPr="00337FBD">
        <w:rPr>
          <w:rFonts w:ascii="Times New Roman" w:hAnsi="Times New Roman" w:cs="Times New Roman"/>
        </w:rPr>
        <w:t xml:space="preserve"> schedule to meet the developmental needs of the students (i.e. allow for physical activity at beginning of program, particularly for the younger students).</w:t>
      </w:r>
    </w:p>
    <w:p w:rsidR="00950287" w:rsidRPr="00337FBD" w:rsidRDefault="00950287" w:rsidP="00950287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>Formali</w:t>
      </w:r>
      <w:r w:rsidR="007C7574">
        <w:rPr>
          <w:rFonts w:ascii="Times New Roman" w:hAnsi="Times New Roman" w:cs="Times New Roman"/>
        </w:rPr>
        <w:t xml:space="preserve">ze the staff evaluation process allowing for observations </w:t>
      </w:r>
      <w:r w:rsidR="00FF129D">
        <w:rPr>
          <w:rFonts w:ascii="Times New Roman" w:hAnsi="Times New Roman" w:cs="Times New Roman"/>
        </w:rPr>
        <w:t>that provide feedback to staff.</w:t>
      </w:r>
    </w:p>
    <w:p w:rsidR="00950287" w:rsidRPr="00337FBD" w:rsidRDefault="00950287" w:rsidP="00950287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 xml:space="preserve">Develop a transportation plan where students do not have to wait </w:t>
      </w:r>
      <w:r w:rsidR="007C7574">
        <w:rPr>
          <w:rFonts w:ascii="Times New Roman" w:hAnsi="Times New Roman" w:cs="Times New Roman"/>
        </w:rPr>
        <w:t>for the second bus route. The current model leaves some students waiting for transportation home nearly 45 minutes after programing has concluded.</w:t>
      </w:r>
    </w:p>
    <w:p w:rsidR="00950287" w:rsidRDefault="00950287" w:rsidP="007C7574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 w:rsidRPr="00337FBD">
        <w:rPr>
          <w:rFonts w:ascii="Times New Roman" w:hAnsi="Times New Roman" w:cs="Times New Roman"/>
        </w:rPr>
        <w:t>Formalize volunteer opportuni</w:t>
      </w:r>
      <w:r w:rsidR="007C7574">
        <w:rPr>
          <w:rFonts w:ascii="Times New Roman" w:hAnsi="Times New Roman" w:cs="Times New Roman"/>
        </w:rPr>
        <w:t>ties for middle school students that provides a pathway for potential employment in the</w:t>
      </w:r>
      <w:r w:rsidR="000140BC">
        <w:rPr>
          <w:rFonts w:ascii="Times New Roman" w:hAnsi="Times New Roman" w:cs="Times New Roman"/>
        </w:rPr>
        <w:t xml:space="preserve"> program as a high school student</w:t>
      </w:r>
      <w:r w:rsidR="007C7574">
        <w:rPr>
          <w:rFonts w:ascii="Times New Roman" w:hAnsi="Times New Roman" w:cs="Times New Roman"/>
        </w:rPr>
        <w:t>.</w:t>
      </w:r>
    </w:p>
    <w:p w:rsidR="000140BC" w:rsidRPr="007C7574" w:rsidRDefault="000140BC" w:rsidP="007C7574">
      <w:pPr>
        <w:pStyle w:val="ListParagraph"/>
        <w:widowControl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expanding the sustainability plan to include access to Fund 80 and other Title funds. Currently the program is largely reliant on CLC grant funds, which are expiring this year.</w:t>
      </w:r>
    </w:p>
    <w:p w:rsidR="00303106" w:rsidRPr="00337FBD" w:rsidRDefault="00722D77">
      <w:pPr>
        <w:tabs>
          <w:tab w:val="left" w:pos="3060"/>
        </w:tabs>
        <w:rPr>
          <w:rFonts w:ascii="Times New Roman" w:eastAsia="Times New Roman" w:hAnsi="Times New Roman" w:cs="Times New Roman"/>
        </w:rPr>
      </w:pPr>
      <w:r w:rsidRPr="00337FBD">
        <w:rPr>
          <w:rFonts w:ascii="Times New Roman" w:eastAsia="Times New Roman" w:hAnsi="Times New Roman" w:cs="Times New Roman"/>
          <w:b/>
        </w:rPr>
        <w:t>Corr</w:t>
      </w:r>
      <w:r w:rsidR="0069618E" w:rsidRPr="00337FBD">
        <w:rPr>
          <w:rFonts w:ascii="Times New Roman" w:eastAsia="Times New Roman" w:hAnsi="Times New Roman" w:cs="Times New Roman"/>
          <w:b/>
        </w:rPr>
        <w:t xml:space="preserve">ective Action </w:t>
      </w:r>
    </w:p>
    <w:p w:rsidR="00303106" w:rsidRPr="00337FBD" w:rsidRDefault="00110881">
      <w:pPr>
        <w:tabs>
          <w:tab w:val="left" w:pos="3060"/>
        </w:tabs>
        <w:rPr>
          <w:rFonts w:ascii="Times New Roman" w:eastAsia="Times New Roman" w:hAnsi="Times New Roman" w:cs="Times New Roman"/>
        </w:rPr>
      </w:pPr>
      <w:r w:rsidRPr="00337FBD">
        <w:rPr>
          <w:rFonts w:ascii="Times New Roman" w:eastAsia="Times New Roman" w:hAnsi="Times New Roman" w:cs="Times New Roman"/>
        </w:rPr>
        <w:t>All program requirements at Cornell Elementary</w:t>
      </w:r>
      <w:r w:rsidR="00722D77" w:rsidRPr="00337FBD">
        <w:rPr>
          <w:rFonts w:ascii="Times New Roman" w:eastAsia="Times New Roman" w:hAnsi="Times New Roman" w:cs="Times New Roman"/>
        </w:rPr>
        <w:t xml:space="preserve"> School’s CLC are currently being met. As a result, there are no di</w:t>
      </w:r>
      <w:r w:rsidRPr="00337FBD">
        <w:rPr>
          <w:rFonts w:ascii="Times New Roman" w:eastAsia="Times New Roman" w:hAnsi="Times New Roman" w:cs="Times New Roman"/>
        </w:rPr>
        <w:t>rectives for corrective action.</w:t>
      </w:r>
    </w:p>
    <w:p w:rsidR="00303106" w:rsidRPr="00337FBD" w:rsidRDefault="0030310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03106" w:rsidRPr="00337FBD" w:rsidRDefault="00110881">
      <w:pPr>
        <w:rPr>
          <w:rFonts w:ascii="Times New Roman" w:eastAsia="Times New Roman" w:hAnsi="Times New Roman" w:cs="Times New Roman"/>
          <w:i/>
        </w:rPr>
      </w:pPr>
      <w:r w:rsidRPr="00337FBD">
        <w:rPr>
          <w:rFonts w:ascii="Times New Roman" w:eastAsia="Times New Roman" w:hAnsi="Times New Roman" w:cs="Times New Roman"/>
          <w:b/>
        </w:rPr>
        <w:t>Conclusion</w:t>
      </w:r>
    </w:p>
    <w:p w:rsidR="00303106" w:rsidRPr="00337FBD" w:rsidRDefault="00722D77">
      <w:pPr>
        <w:rPr>
          <w:rFonts w:ascii="Times New Roman" w:eastAsia="Times New Roman" w:hAnsi="Times New Roman" w:cs="Times New Roman"/>
        </w:rPr>
      </w:pPr>
      <w:r w:rsidRPr="00337FBD">
        <w:rPr>
          <w:rFonts w:ascii="Times New Roman" w:eastAsia="Times New Roman" w:hAnsi="Times New Roman" w:cs="Times New Roman"/>
        </w:rPr>
        <w:t>The department is extremely pleased with the program quality, and the impact that the program is having on students and their families. Much credit should go to t</w:t>
      </w:r>
      <w:r w:rsidR="0069618E" w:rsidRPr="00337FBD">
        <w:rPr>
          <w:rFonts w:ascii="Times New Roman" w:eastAsia="Times New Roman" w:hAnsi="Times New Roman" w:cs="Times New Roman"/>
        </w:rPr>
        <w:t>he CLC coordinator, Jenny Blaisdell.</w:t>
      </w:r>
      <w:r w:rsidRPr="00337FBD">
        <w:rPr>
          <w:rFonts w:ascii="Times New Roman" w:eastAsia="Times New Roman" w:hAnsi="Times New Roman" w:cs="Times New Roman"/>
        </w:rPr>
        <w:t xml:space="preserve"> The district can be proud of its accomplishments to date and should embrace the items jointly identified for improvement as a means for providing an even higher level of service.</w:t>
      </w:r>
    </w:p>
    <w:sectPr w:rsidR="00303106" w:rsidRPr="00337FBD" w:rsidSect="009D3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D7" w:rsidRDefault="002506D7">
      <w:r>
        <w:separator/>
      </w:r>
    </w:p>
  </w:endnote>
  <w:endnote w:type="continuationSeparator" w:id="0">
    <w:p w:rsidR="002506D7" w:rsidRDefault="0025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74" w:rsidRDefault="007C75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74" w:rsidRPr="003E7131" w:rsidRDefault="007C75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  <w:r w:rsidRPr="003E7131">
      <w:rPr>
        <w:rFonts w:ascii="Times New Roman" w:eastAsia="Times New Roman" w:hAnsi="Times New Roman" w:cs="Times New Roman"/>
      </w:rPr>
      <w:fldChar w:fldCharType="begin"/>
    </w:r>
    <w:r w:rsidRPr="003E7131">
      <w:rPr>
        <w:rFonts w:ascii="Times New Roman" w:eastAsia="Times New Roman" w:hAnsi="Times New Roman" w:cs="Times New Roman"/>
      </w:rPr>
      <w:instrText>PAGE</w:instrText>
    </w:r>
    <w:r w:rsidRPr="003E7131">
      <w:rPr>
        <w:rFonts w:ascii="Times New Roman" w:eastAsia="Times New Roman" w:hAnsi="Times New Roman" w:cs="Times New Roman"/>
      </w:rPr>
      <w:fldChar w:fldCharType="separate"/>
    </w:r>
    <w:r w:rsidR="00C678FA">
      <w:rPr>
        <w:rFonts w:ascii="Times New Roman" w:eastAsia="Times New Roman" w:hAnsi="Times New Roman" w:cs="Times New Roman"/>
        <w:noProof/>
      </w:rPr>
      <w:t>2</w:t>
    </w:r>
    <w:r w:rsidRPr="003E7131"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74" w:rsidRDefault="007C7574">
    <w:pPr>
      <w:pBdr>
        <w:top w:val="single" w:sz="4" w:space="1" w:color="000000"/>
      </w:pBdr>
      <w:ind w:left="-720" w:right="-72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PO Box 7841, Madison, WI  53707-</w:t>
    </w:r>
    <w:proofErr w:type="gramStart"/>
    <w:r>
      <w:rPr>
        <w:rFonts w:ascii="Arial" w:eastAsia="Arial" w:hAnsi="Arial" w:cs="Arial"/>
        <w:sz w:val="18"/>
        <w:szCs w:val="18"/>
      </w:rPr>
      <w:t xml:space="preserve">7841  </w:t>
    </w:r>
    <w:r>
      <w:rPr>
        <w:rFonts w:ascii="Wingdings" w:eastAsia="Wingdings" w:hAnsi="Wingdings" w:cs="Wingdings"/>
        <w:sz w:val="18"/>
        <w:szCs w:val="18"/>
      </w:rPr>
      <w:t>■</w:t>
    </w:r>
    <w:proofErr w:type="gramEnd"/>
    <w:r>
      <w:rPr>
        <w:rFonts w:ascii="Arial" w:eastAsia="Arial" w:hAnsi="Arial" w:cs="Arial"/>
        <w:sz w:val="18"/>
        <w:szCs w:val="18"/>
      </w:rPr>
      <w:t xml:space="preserve">  125 South Webster Street, Madison, WI  53703</w:t>
    </w:r>
  </w:p>
  <w:p w:rsidR="007C7574" w:rsidRDefault="007C75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720" w:right="-720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(608) 266-</w:t>
    </w:r>
    <w:proofErr w:type="gramStart"/>
    <w:r>
      <w:rPr>
        <w:rFonts w:ascii="Arial" w:eastAsia="Arial" w:hAnsi="Arial" w:cs="Arial"/>
        <w:color w:val="000000"/>
        <w:sz w:val="18"/>
        <w:szCs w:val="18"/>
      </w:rPr>
      <w:t xml:space="preserve">3390  </w:t>
    </w:r>
    <w:r>
      <w:rPr>
        <w:rFonts w:ascii="Wingdings" w:eastAsia="Wingdings" w:hAnsi="Wingdings" w:cs="Wingdings"/>
        <w:color w:val="000000"/>
        <w:sz w:val="18"/>
        <w:szCs w:val="18"/>
      </w:rPr>
      <w:t>■</w:t>
    </w:r>
    <w:proofErr w:type="gramEnd"/>
    <w:r>
      <w:rPr>
        <w:rFonts w:ascii="Arial" w:eastAsia="Arial" w:hAnsi="Arial" w:cs="Arial"/>
        <w:color w:val="000000"/>
        <w:sz w:val="18"/>
        <w:szCs w:val="18"/>
      </w:rPr>
      <w:t xml:space="preserve">  (800) 441-4563 toll free  </w:t>
    </w:r>
    <w:r>
      <w:rPr>
        <w:rFonts w:ascii="Wingdings" w:eastAsia="Wingdings" w:hAnsi="Wingdings" w:cs="Wingdings"/>
        <w:color w:val="000000"/>
        <w:sz w:val="18"/>
        <w:szCs w:val="18"/>
      </w:rPr>
      <w:t>■</w:t>
    </w:r>
    <w:r>
      <w:rPr>
        <w:rFonts w:ascii="Arial" w:eastAsia="Arial" w:hAnsi="Arial" w:cs="Arial"/>
        <w:color w:val="000000"/>
        <w:sz w:val="18"/>
        <w:szCs w:val="18"/>
      </w:rPr>
      <w:t xml:space="preserve">  dpi.wi.gov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D7" w:rsidRDefault="002506D7">
      <w:r>
        <w:separator/>
      </w:r>
    </w:p>
  </w:footnote>
  <w:footnote w:type="continuationSeparator" w:id="0">
    <w:p w:rsidR="002506D7" w:rsidRDefault="0025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74" w:rsidRDefault="007C75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74" w:rsidRDefault="007C75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74" w:rsidRDefault="007C7574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18"/>
        <w:szCs w:val="18"/>
      </w:rPr>
    </w:pPr>
  </w:p>
  <w:tbl>
    <w:tblPr>
      <w:tblStyle w:val="a"/>
      <w:tblW w:w="10800" w:type="dxa"/>
      <w:tblInd w:w="-605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80"/>
      <w:gridCol w:w="7920"/>
    </w:tblGrid>
    <w:tr w:rsidR="007C7574">
      <w:trPr>
        <w:trHeight w:val="1400"/>
      </w:trPr>
      <w:tc>
        <w:tcPr>
          <w:tcW w:w="2880" w:type="dxa"/>
        </w:tcPr>
        <w:p w:rsidR="007C7574" w:rsidRDefault="007C7574">
          <w:r>
            <w:rPr>
              <w:noProof/>
            </w:rPr>
            <w:drawing>
              <wp:inline distT="0" distB="0" distL="0" distR="0">
                <wp:extent cx="1676400" cy="863600"/>
                <wp:effectExtent l="0" t="0" r="0" b="0"/>
                <wp:docPr id="1" name="image1.png" descr="dpi_Iogo_b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pi_Iogo_bw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86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bottom"/>
        </w:tcPr>
        <w:p w:rsidR="007C7574" w:rsidRDefault="007C7574">
          <w:pPr>
            <w:spacing w:after="40"/>
            <w:jc w:val="right"/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sz w:val="22"/>
              <w:szCs w:val="22"/>
            </w:rPr>
            <w:t>Tony Evers, PhD, State Superintendent</w:t>
          </w:r>
        </w:p>
      </w:tc>
    </w:tr>
  </w:tbl>
  <w:p w:rsidR="007C7574" w:rsidRDefault="007C75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158"/>
    <w:multiLevelType w:val="hybridMultilevel"/>
    <w:tmpl w:val="13E82402"/>
    <w:lvl w:ilvl="0" w:tplc="C6B82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68B1"/>
    <w:multiLevelType w:val="hybridMultilevel"/>
    <w:tmpl w:val="44A85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D6ED5"/>
    <w:multiLevelType w:val="multilevel"/>
    <w:tmpl w:val="76089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F012102"/>
    <w:multiLevelType w:val="multilevel"/>
    <w:tmpl w:val="F020B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5463ABB"/>
    <w:multiLevelType w:val="multilevel"/>
    <w:tmpl w:val="9B660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E57001D"/>
    <w:multiLevelType w:val="hybridMultilevel"/>
    <w:tmpl w:val="64CA001E"/>
    <w:lvl w:ilvl="0" w:tplc="E752C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E44DB"/>
    <w:multiLevelType w:val="hybridMultilevel"/>
    <w:tmpl w:val="24BA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3962A8"/>
    <w:multiLevelType w:val="hybridMultilevel"/>
    <w:tmpl w:val="18A6FE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629E4"/>
    <w:multiLevelType w:val="hybridMultilevel"/>
    <w:tmpl w:val="3460A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D91E37"/>
    <w:multiLevelType w:val="multilevel"/>
    <w:tmpl w:val="CA8CD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EA7087C"/>
    <w:multiLevelType w:val="multilevel"/>
    <w:tmpl w:val="6BE6D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5692BD9"/>
    <w:multiLevelType w:val="hybridMultilevel"/>
    <w:tmpl w:val="D046A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1D0064"/>
    <w:multiLevelType w:val="multilevel"/>
    <w:tmpl w:val="7494B06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746B6DBA"/>
    <w:multiLevelType w:val="multilevel"/>
    <w:tmpl w:val="B00E8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86B7EA6"/>
    <w:multiLevelType w:val="multilevel"/>
    <w:tmpl w:val="09428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AD639DD"/>
    <w:multiLevelType w:val="multilevel"/>
    <w:tmpl w:val="46EAF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9"/>
  </w:num>
  <w:num w:numId="7">
    <w:abstractNumId w:val="13"/>
  </w:num>
  <w:num w:numId="8">
    <w:abstractNumId w:val="3"/>
  </w:num>
  <w:num w:numId="9">
    <w:abstractNumId w:val="15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06"/>
    <w:rsid w:val="00006FD0"/>
    <w:rsid w:val="0001188C"/>
    <w:rsid w:val="000140BC"/>
    <w:rsid w:val="00047D1A"/>
    <w:rsid w:val="00110881"/>
    <w:rsid w:val="00157EDA"/>
    <w:rsid w:val="00170A52"/>
    <w:rsid w:val="001917D9"/>
    <w:rsid w:val="001929F1"/>
    <w:rsid w:val="001D0F2B"/>
    <w:rsid w:val="001F1E33"/>
    <w:rsid w:val="0022274D"/>
    <w:rsid w:val="002506D7"/>
    <w:rsid w:val="002815E7"/>
    <w:rsid w:val="002E6F58"/>
    <w:rsid w:val="00303106"/>
    <w:rsid w:val="00327F3C"/>
    <w:rsid w:val="00337FBD"/>
    <w:rsid w:val="0035287B"/>
    <w:rsid w:val="00377E85"/>
    <w:rsid w:val="003C3822"/>
    <w:rsid w:val="003E0C6D"/>
    <w:rsid w:val="003E7131"/>
    <w:rsid w:val="003F4ABB"/>
    <w:rsid w:val="00426624"/>
    <w:rsid w:val="004763AB"/>
    <w:rsid w:val="004A21CE"/>
    <w:rsid w:val="004E55F2"/>
    <w:rsid w:val="005A2CFC"/>
    <w:rsid w:val="005B5C12"/>
    <w:rsid w:val="005F554E"/>
    <w:rsid w:val="006217F8"/>
    <w:rsid w:val="006305B9"/>
    <w:rsid w:val="006746C5"/>
    <w:rsid w:val="0069618E"/>
    <w:rsid w:val="006B62F9"/>
    <w:rsid w:val="006C0EA8"/>
    <w:rsid w:val="00707332"/>
    <w:rsid w:val="00722D77"/>
    <w:rsid w:val="007546E1"/>
    <w:rsid w:val="007A418E"/>
    <w:rsid w:val="007C7574"/>
    <w:rsid w:val="007D555D"/>
    <w:rsid w:val="00842925"/>
    <w:rsid w:val="00870117"/>
    <w:rsid w:val="008B2DED"/>
    <w:rsid w:val="008B318A"/>
    <w:rsid w:val="008D229C"/>
    <w:rsid w:val="008F4B64"/>
    <w:rsid w:val="00942510"/>
    <w:rsid w:val="00950287"/>
    <w:rsid w:val="00981761"/>
    <w:rsid w:val="009B03D9"/>
    <w:rsid w:val="009D3694"/>
    <w:rsid w:val="009D5D26"/>
    <w:rsid w:val="00A01D54"/>
    <w:rsid w:val="00A21567"/>
    <w:rsid w:val="00A60DBC"/>
    <w:rsid w:val="00A725AD"/>
    <w:rsid w:val="00A84734"/>
    <w:rsid w:val="00AE32EA"/>
    <w:rsid w:val="00B5039E"/>
    <w:rsid w:val="00B63EE5"/>
    <w:rsid w:val="00BD20B6"/>
    <w:rsid w:val="00BF3A9D"/>
    <w:rsid w:val="00C107C4"/>
    <w:rsid w:val="00C22D6A"/>
    <w:rsid w:val="00C678FA"/>
    <w:rsid w:val="00CA3838"/>
    <w:rsid w:val="00CA4FD4"/>
    <w:rsid w:val="00CA51E8"/>
    <w:rsid w:val="00D1404F"/>
    <w:rsid w:val="00D56B5D"/>
    <w:rsid w:val="00D779DC"/>
    <w:rsid w:val="00E152CD"/>
    <w:rsid w:val="00E2384C"/>
    <w:rsid w:val="00E33FC3"/>
    <w:rsid w:val="00E96E67"/>
    <w:rsid w:val="00EC6F86"/>
    <w:rsid w:val="00ED4469"/>
    <w:rsid w:val="00F35EF5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7F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B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7F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B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117B9543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Morin, Tanya  DPI</dc:creator>
  <cp:lastModifiedBy>Jenny Blaisdell</cp:lastModifiedBy>
  <cp:revision>2</cp:revision>
  <cp:lastPrinted>2019-01-04T14:06:00Z</cp:lastPrinted>
  <dcterms:created xsi:type="dcterms:W3CDTF">2019-01-07T16:19:00Z</dcterms:created>
  <dcterms:modified xsi:type="dcterms:W3CDTF">2019-01-07T16:19:00Z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238185326</vt:i4>
  </property>
  <property fmtid="{D5CDD505-2E9C-101B-9397-08002B2CF9AE}" pid="4" name="_EmailSubject">
    <vt:lpwstr>CLC Monitoring Report - Cornell</vt:lpwstr>
  </property>
  <property fmtid="{D5CDD505-2E9C-101B-9397-08002B2CF9AE}" pid="5" name="_AuthorEmail">
    <vt:lpwstr>Sarah.Calvin@dpi.wi.gov</vt:lpwstr>
  </property>
  <property fmtid="{D5CDD505-2E9C-101B-9397-08002B2CF9AE}" pid="6" name="_AuthorEmailDisplayName">
    <vt:lpwstr>Calvin, Sarah A.  DPI</vt:lpwstr>
  </property>
  <property fmtid="{D5CDD505-2E9C-101B-9397-08002B2CF9AE}" pid="7" name="_ReviewingToolsShownOnce">
    <vt:lpwstr/>
  </property>
</Properties>
</file>